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</w:rPr>
        <w:t>Table S1.</w:t>
      </w:r>
      <w:r>
        <w:rPr>
          <w:rFonts w:ascii="Times New Roman" w:hAnsi="Times New Roman" w:cs="Times New Roman"/>
          <w:sz w:val="24"/>
        </w:rPr>
        <w:t xml:space="preserve"> Prevalence of the S68G mutation among HIV-1 strains of various subtypes in the Stanford University HIV Drug Resistance Database</w:t>
      </w:r>
    </w:p>
    <w:tbl>
      <w:tblPr>
        <w:tblStyle w:val="5"/>
        <w:tblpPr w:leftFromText="180" w:rightFromText="180" w:vertAnchor="text" w:horzAnchor="page" w:tblpX="1814" w:tblpY="232"/>
        <w:tblOverlap w:val="never"/>
        <w:tblW w:w="66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0"/>
        <w:gridCol w:w="1725"/>
        <w:gridCol w:w="1260"/>
        <w:gridCol w:w="1160"/>
        <w:gridCol w:w="1160"/>
      </w:tblGrid>
      <w:tr>
        <w:tblPrEx>
          <w:tblLayout w:type="fixed"/>
        </w:tblPrEx>
        <w:trPr>
          <w:trHeight w:val="285" w:hRule="atLeast"/>
        </w:trPr>
        <w:tc>
          <w:tcPr>
            <w:tcW w:w="13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Subtype</w:t>
            </w:r>
          </w:p>
        </w:tc>
        <w:tc>
          <w:tcPr>
            <w:tcW w:w="172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RTI-naive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% / (n)</w:t>
            </w:r>
          </w:p>
        </w:tc>
        <w:tc>
          <w:tcPr>
            <w:tcW w:w="126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RTI-treated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% / (n)</w:t>
            </w:r>
          </w:p>
        </w:tc>
        <w:tc>
          <w:tcPr>
            <w:tcW w:w="116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Increase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116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P-value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 (7089)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6.1 (5326)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 (46589)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5.9 (36417)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1.4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− (15809)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 (20627)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1.6 (2023)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5.9 (1682)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4.3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 (1532)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2.3 (886)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−1.2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&gt;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1.3 (1564)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 (3074)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CRF_01AE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7.3 (14336)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 (6171)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9.7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CRF_02AG</w:t>
            </w:r>
          </w:p>
        </w:tc>
        <w:tc>
          <w:tcPr>
            <w:tcW w:w="172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 (5175)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 (4339)</w:t>
            </w:r>
          </w:p>
        </w:tc>
        <w:tc>
          <w:tcPr>
            <w:tcW w:w="11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5.3</w:t>
            </w:r>
          </w:p>
        </w:tc>
        <w:tc>
          <w:tcPr>
            <w:tcW w:w="11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RTI-naive patients had never been exposed to antiretroviral drugs, whereas RTI-treated patients were receiving RTI.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%, percentage of S68G mutation among various HIV-1 subtypes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n, number of isolates according to subtype and drug class exposure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HIV, human immunodeficiency virus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RTI, reverse transcriptase inhibitor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Calibri Light">
    <w:altName w:val="Verdana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C67BA"/>
    <w:rsid w:val="00261702"/>
    <w:rsid w:val="002F548A"/>
    <w:rsid w:val="00860AA1"/>
    <w:rsid w:val="008D7024"/>
    <w:rsid w:val="00A01235"/>
    <w:rsid w:val="00BA507D"/>
    <w:rsid w:val="3FEDC128"/>
    <w:rsid w:val="3FEF2C34"/>
    <w:rsid w:val="3FF76D79"/>
    <w:rsid w:val="3FFCD2DE"/>
    <w:rsid w:val="53C34EE3"/>
    <w:rsid w:val="67DF6EF3"/>
    <w:rsid w:val="695FE0A7"/>
    <w:rsid w:val="6F7F1023"/>
    <w:rsid w:val="71EC9AE9"/>
    <w:rsid w:val="7B7C2842"/>
    <w:rsid w:val="7BB7D668"/>
    <w:rsid w:val="7F7BF7C8"/>
    <w:rsid w:val="7FAF78D1"/>
    <w:rsid w:val="7FF06747"/>
    <w:rsid w:val="7FFFB2B4"/>
    <w:rsid w:val="8FE7A431"/>
    <w:rsid w:val="D47F4409"/>
    <w:rsid w:val="F9FC67BA"/>
    <w:rsid w:val="FB3FF5E5"/>
    <w:rsid w:val="FBFA2AF0"/>
    <w:rsid w:val="FC3F948A"/>
    <w:rsid w:val="FDFC8EC8"/>
    <w:rsid w:val="FFAF4AF8"/>
    <w:rsid w:val="FFF3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customStyle="1" w:styleId="6">
    <w:name w:val="Balloon Text Char"/>
    <w:basedOn w:val="4"/>
    <w:link w:val="2"/>
    <w:qFormat/>
    <w:uiPriority w:val="0"/>
    <w:rPr>
      <w:rFonts w:ascii="Segoe UI" w:hAnsi="Segoe UI" w:cs="Segoe UI" w:eastAsiaTheme="minorEastAsia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778</Characters>
  <Lines>6</Lines>
  <Paragraphs>1</Paragraphs>
  <TotalTime>0</TotalTime>
  <ScaleCrop>false</ScaleCrop>
  <LinksUpToDate>false</LinksUpToDate>
  <CharactersWithSpaces>913</CharactersWithSpaces>
  <Application>WPS Office_1.1.0.1454_F1E327BC-269C-435d-A152-05C5408002CA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2019-11-16T11:32:00Z</dcterms:created>
  <dc:creator>shengjiali</dc:creator>
  <cp:lastModifiedBy>shengjiali</cp:lastModifiedBy>
  <dcterms:modified xsi:type="dcterms:W3CDTF">2019-12-10T11:31:05Z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</Properties>
</file>